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Componenti del sistema</w:t>
      </w:r>
    </w:p>
    <w:p/>
    <w:p>
      <w:pPr/>
      <w:r>
        <w:rPr>
          <w:b w:val="1"/>
          <w:bCs w:val="1"/>
        </w:rPr>
        <w:t xml:space="preserve">UI8 KNX-S interfaccia universale</w:t>
      </w:r>
    </w:p>
    <w:p>
      <w:pPr/>
      <w:r>
        <w:rPr>
          <w:b w:val="1"/>
          <w:bCs w:val="1"/>
        </w:rPr>
        <w:t xml:space="preserve"/>
      </w:r>
    </w:p>
    <w:p/>
    <w:p>
      <w:pPr/>
      <w:r>
        <w:rPr/>
        <w:t xml:space="preserve">Garanzia del produttore: 5 anni; VPE1, EAN: 4007841089245; Grado di protezione: IP20; Classe di protezione: III; Allacciamento alla rete: 21 – 32 V; Dettaglio tensione di alimentazione: KNX-bus; Con accoppiamento bus: Sì; Categoria die prodotto: Componenti del sistema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089245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UI8 KNX-S interfaccia universale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2025-03-25T01:10:40+01:00</dcterms:created>
  <dcterms:modified xsi:type="dcterms:W3CDTF">2025-03-25T01:10:40+01:00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